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FD3A41" w:rsidRPr="005338AF" w14:paraId="426DD572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501F99D" w:rsidR="00FD3A41" w:rsidRPr="001635F3" w:rsidRDefault="00FD3A41" w:rsidP="00FD3A41">
            <w:pPr>
              <w:ind w:left="142"/>
            </w:pPr>
            <w:r w:rsidRPr="001635F3">
              <w:rPr>
                <w:rFonts w:ascii="Calibri" w:hAnsi="Calibri" w:cs="Calibri"/>
                <w:color w:val="231F20"/>
              </w:rPr>
              <w:t>BROJ</w:t>
            </w:r>
            <w:r w:rsidRPr="001635F3">
              <w:rPr>
                <w:rFonts w:ascii="Calibri" w:hAnsi="Calibri" w:cs="Calibri"/>
                <w:color w:val="231F20"/>
                <w:spacing w:val="4"/>
              </w:rPr>
              <w:t>E</w:t>
            </w:r>
            <w:r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1635F3">
              <w:rPr>
                <w:rFonts w:ascii="Calibri" w:hAnsi="Calibri" w:cs="Calibri"/>
                <w:color w:val="231F20"/>
              </w:rPr>
              <w:t>I</w:t>
            </w:r>
          </w:p>
        </w:tc>
      </w:tr>
      <w:tr w:rsidR="00FD3A41" w:rsidRPr="005338AF" w14:paraId="60F91631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EB733B4" w:rsidR="00FD3A41" w:rsidRPr="001635F3" w:rsidRDefault="00483E74" w:rsidP="00FD3A41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PROLJEĆE NAS BOJAMA VESELI, ČUVATI PRIRODU JE SVE ŠTO ŽELI</w:t>
            </w:r>
          </w:p>
        </w:tc>
      </w:tr>
      <w:tr w:rsidR="00FD3A41" w:rsidRPr="005338AF" w14:paraId="2CE39A03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9635A6E" w:rsidR="00FD3A41" w:rsidRPr="001635F3" w:rsidRDefault="007A4D90" w:rsidP="00FD3A41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BROJEVI DO 20</w:t>
            </w:r>
            <w:r w:rsidR="00FD3A41" w:rsidRPr="001635F3">
              <w:rPr>
                <w:rFonts w:ascii="Calibri" w:hAnsi="Calibri" w:cs="Calibri"/>
                <w:color w:val="231F20"/>
              </w:rPr>
              <w:t xml:space="preserve">, 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pr</w:t>
            </w:r>
            <w:r w:rsidR="00FD3A41" w:rsidRPr="001635F3">
              <w:rPr>
                <w:rFonts w:ascii="Calibri" w:hAnsi="Calibri" w:cs="Calibri"/>
                <w:color w:val="231F20"/>
              </w:rPr>
              <w:t>ovje</w:t>
            </w:r>
            <w:r w:rsidR="00FD3A41" w:rsidRPr="001635F3">
              <w:rPr>
                <w:rFonts w:ascii="Calibri" w:hAnsi="Calibri" w:cs="Calibri"/>
                <w:color w:val="231F20"/>
                <w:spacing w:val="2"/>
              </w:rPr>
              <w:t>r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="00FD3A41" w:rsidRPr="001635F3">
              <w:rPr>
                <w:rFonts w:ascii="Calibri" w:hAnsi="Calibri" w:cs="Calibri"/>
                <w:color w:val="231F20"/>
              </w:rPr>
              <w:t>anje i anali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z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</w:p>
        </w:tc>
      </w:tr>
      <w:tr w:rsidR="00FD3A41" w:rsidRPr="005338AF" w14:paraId="2FE4D0D7" w14:textId="77777777" w:rsidTr="007A4D90">
        <w:trPr>
          <w:trHeight w:hRule="exact" w:val="680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ED4B3A1" w14:textId="77777777" w:rsidR="007A4D90" w:rsidRPr="00500F0E" w:rsidRDefault="007A4D90" w:rsidP="007A4D90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17DA627" w14:textId="77777777" w:rsidR="007A4D90" w:rsidRPr="007A4D90" w:rsidRDefault="007A4D90" w:rsidP="007A4D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7A4D9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A.1.2. Uspoređuje prirodne brojeve do 20 i nulu.</w:t>
            </w:r>
          </w:p>
          <w:p w14:paraId="6AA3FB19" w14:textId="0F90B663" w:rsidR="00FD3A41" w:rsidRPr="001635F3" w:rsidRDefault="007A4D90" w:rsidP="007A4D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7A4D9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A.1.3. Koristi se rednim brojevima do 20.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5E8B3D3E" w14:textId="77777777" w:rsidR="00CA1172" w:rsidRPr="00CA1172" w:rsidRDefault="00CA1172" w:rsidP="00CA1172">
            <w:r w:rsidRPr="00CA1172">
              <w:rPr>
                <w:b/>
                <w:bCs/>
              </w:rPr>
              <w:t>1. Ponavljanje</w:t>
            </w:r>
          </w:p>
          <w:p w14:paraId="3737D4E6" w14:textId="5E1DDB85" w:rsidR="00CA1172" w:rsidRDefault="007A4D90" w:rsidP="007A4D90">
            <w:r w:rsidRPr="007A4D90">
              <w:rPr>
                <w:b/>
                <w:bCs/>
              </w:rPr>
              <w:t xml:space="preserve">Ishod aktivnosti: </w:t>
            </w:r>
            <w:r w:rsidRPr="007A4D90">
              <w:t>broji u skupu brojeva do 20; čita i zapisuje brojeve do 20 i nulu brojkama i riječima; razlikuje</w:t>
            </w:r>
            <w:r>
              <w:t xml:space="preserve"> </w:t>
            </w:r>
            <w:r w:rsidRPr="007A4D90">
              <w:t>jednoznamenkaste i dvoznamenkaste brojeve; objašnjava vezu između vrijednosti znamenaka i vrijednosti</w:t>
            </w:r>
            <w:r>
              <w:t xml:space="preserve"> </w:t>
            </w:r>
            <w:r w:rsidRPr="007A4D90">
              <w:t xml:space="preserve">broja; određuje odnos među brojevima riječima: </w:t>
            </w:r>
            <w:r w:rsidRPr="007A4D90">
              <w:rPr>
                <w:i/>
                <w:iCs/>
              </w:rPr>
              <w:t>veći – manji – jednak</w:t>
            </w:r>
            <w:r w:rsidRPr="007A4D90">
              <w:t>; uspoređuje brojeve matematičkim</w:t>
            </w:r>
            <w:r>
              <w:t xml:space="preserve"> </w:t>
            </w:r>
            <w:r w:rsidRPr="007A4D90">
              <w:t>znakovima &gt;, &lt; i =; čita i zapisuje redne brojeve; uočava redoslijed i određuje ga rednim brojem; razlikuje glavne i redne brojeve.</w:t>
            </w:r>
          </w:p>
          <w:p w14:paraId="286A9E0E" w14:textId="77777777" w:rsidR="007A4D90" w:rsidRPr="007A4D90" w:rsidRDefault="007A4D90" w:rsidP="007A4D90">
            <w:r w:rsidRPr="007A4D90">
              <w:rPr>
                <w:b/>
                <w:bCs/>
              </w:rPr>
              <w:t>Opis aktivnosti:</w:t>
            </w:r>
          </w:p>
          <w:p w14:paraId="07B445B4" w14:textId="245E6247" w:rsidR="007A4D90" w:rsidRDefault="007A4D90" w:rsidP="007A4D90">
            <w:r w:rsidRPr="007A4D90">
              <w:t>Učiteljica/učitelj postavlja komunikacijsku situaciju: Nabroji brojeve veće od 10. Kakvi su to jednoznamenkasti</w:t>
            </w:r>
            <w:r>
              <w:t xml:space="preserve"> </w:t>
            </w:r>
            <w:r w:rsidRPr="007A4D90">
              <w:t>brojevi? Nabroji ih. Kakvi su dvoznamenkasti brojevi? Nabroji ih. Nabroji brojeve koji imaju samo jedinice. Koji</w:t>
            </w:r>
            <w:r>
              <w:t xml:space="preserve"> </w:t>
            </w:r>
            <w:r w:rsidRPr="007A4D90">
              <w:t>brojevi imaju jednu deseticu? Nabroji redne brojeve veće od broja 10. Zapiši redne brojeve veće od 10. Koji su</w:t>
            </w:r>
            <w:r>
              <w:t xml:space="preserve"> </w:t>
            </w:r>
            <w:r w:rsidRPr="007A4D90">
              <w:t>brojevi veći od 10, a manji od 17?</w:t>
            </w:r>
          </w:p>
          <w:p w14:paraId="21E70AC0" w14:textId="77777777" w:rsidR="007A4D90" w:rsidRPr="007A4D90" w:rsidRDefault="007A4D90" w:rsidP="007A4D90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775C4676" w14:textId="7A699F60" w:rsidR="007A4D90" w:rsidRPr="007A4D90" w:rsidRDefault="00B02BAF" w:rsidP="007A4D90"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7A4D90" w:rsidRPr="007A4D90">
              <w:t>povezuje količinu i broj; broji u skupu brojeva do 20; prikazuje brojeve do 20 na različite</w:t>
            </w:r>
            <w:r w:rsidR="007A4D90">
              <w:t xml:space="preserve"> </w:t>
            </w:r>
            <w:r w:rsidR="007A4D90" w:rsidRPr="007A4D90">
              <w:t>načine; čita i zapisuje brojeve do 20 i nulu brojkama i riječima; razlikuje jednoznamenkaste i dvoznamenkaste</w:t>
            </w:r>
            <w:r w:rsidR="007A4D90">
              <w:t xml:space="preserve"> </w:t>
            </w:r>
            <w:r w:rsidR="007A4D90" w:rsidRPr="007A4D90">
              <w:t>brojeve; objašnjava vezu između vrijednosti znamenaka i vrijednosti broja; uspoređuje brojeve matematičkim</w:t>
            </w:r>
            <w:r w:rsidR="007A4D90">
              <w:t xml:space="preserve"> </w:t>
            </w:r>
            <w:r w:rsidR="007A4D90" w:rsidRPr="007A4D90">
              <w:t>znakovima &gt;, &lt; i =; čita i zapisuje redne brojeve; uočava redoslijed i određuje ga rednim brojem; razlikuje glavne i redne brojeve.</w:t>
            </w:r>
          </w:p>
          <w:p w14:paraId="64BF54C2" w14:textId="2A0818CD" w:rsidR="00B02BAF" w:rsidRPr="00B02BAF" w:rsidRDefault="00B02BAF" w:rsidP="00FD3A41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6B1A6859" w14:textId="7DF3966B" w:rsidR="00860201" w:rsidRPr="00B02BAF" w:rsidRDefault="00B02BAF" w:rsidP="00B02BAF">
            <w:r w:rsidRPr="00B02BAF">
              <w:t>Učiteljica/učitelj daje učenicima upute za rješavanje zadataka za provjeru stupnja ostvarenja određenih ishoda kod</w:t>
            </w:r>
            <w:r w:rsidR="004C2183">
              <w:t xml:space="preserve"> u</w:t>
            </w:r>
            <w:r w:rsidRPr="00B02BAF">
              <w:t>čenika. Svaku uputu za rješavanje zadataka kao i rečenice u zadatku čita učiteljica/učitelj.</w:t>
            </w:r>
            <w:r w:rsidR="007A4D90">
              <w:t xml:space="preserve"> </w:t>
            </w:r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lastRenderedPageBreak/>
              <w:t>KVALITATIVNA ANALIZA – kazuje koliko je učenika riješilo određeni postotak zadataka, odnosno koliko su</w:t>
            </w:r>
          </w:p>
          <w:p w14:paraId="539794DD" w14:textId="77777777" w:rsidR="00B02BAF" w:rsidRPr="00B02BAF" w:rsidRDefault="00B02BAF" w:rsidP="00B02BAF">
            <w:r w:rsidRPr="00B02BAF">
              <w:t>bodova učenici postigli.</w:t>
            </w:r>
          </w:p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05FFDA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800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796BCA12" w:rsidR="00712B10" w:rsidRPr="00021520" w:rsidRDefault="00E13CF7" w:rsidP="00797FE7">
            <w:r w:rsidRPr="00021520">
              <w:rPr>
                <w:spacing w:val="1"/>
              </w:rPr>
              <w:lastRenderedPageBreak/>
              <w:t>OŠ HJ</w:t>
            </w:r>
            <w:r w:rsidR="00712B10" w:rsidRPr="00021520">
              <w:t xml:space="preserve"> – A</w:t>
            </w:r>
            <w:r w:rsidR="00914F41" w:rsidRPr="00021520">
              <w:t>.</w:t>
            </w:r>
            <w:r w:rsidR="00712B10" w:rsidRPr="00021520">
              <w:t>1.1</w:t>
            </w:r>
            <w:r w:rsidR="00565DFD" w:rsidRPr="00021520">
              <w:t>.</w:t>
            </w:r>
          </w:p>
          <w:p w14:paraId="7F51797C" w14:textId="0EB40928" w:rsidR="0079418F" w:rsidRPr="00021520" w:rsidRDefault="00021520" w:rsidP="00797FE7">
            <w:r w:rsidRPr="00021520">
              <w:t xml:space="preserve">GOO </w:t>
            </w:r>
            <w:r w:rsidR="0079418F" w:rsidRPr="00021520">
              <w:t>– C.1.1.</w:t>
            </w:r>
          </w:p>
          <w:p w14:paraId="6D6824BC" w14:textId="505621CC" w:rsidR="00C561F1" w:rsidRPr="00021520" w:rsidRDefault="00021520" w:rsidP="00797FE7">
            <w:r w:rsidRPr="00021520">
              <w:t xml:space="preserve">OSR </w:t>
            </w:r>
            <w:r w:rsidR="00C561F1" w:rsidRPr="00021520">
              <w:t>– B.1.2</w:t>
            </w:r>
            <w:r w:rsidR="00565DFD" w:rsidRPr="00021520">
              <w:t>.</w:t>
            </w:r>
            <w:r w:rsidR="003243A7" w:rsidRPr="00021520">
              <w:t>, C.1.2</w:t>
            </w:r>
            <w:r w:rsidR="00565DFD" w:rsidRPr="00021520">
              <w:t>.</w:t>
            </w:r>
          </w:p>
          <w:p w14:paraId="1DBF62A9" w14:textId="5E109E67" w:rsidR="0090041C" w:rsidRPr="00021520" w:rsidRDefault="00021520" w:rsidP="00797FE7">
            <w:r w:rsidRPr="00021520">
              <w:t xml:space="preserve">ODR </w:t>
            </w:r>
            <w:r w:rsidR="0090041C" w:rsidRPr="00021520">
              <w:t>– A.1.1</w:t>
            </w:r>
            <w:r w:rsidR="00565DFD" w:rsidRPr="00021520">
              <w:t>.</w:t>
            </w:r>
          </w:p>
          <w:p w14:paraId="06859B62" w14:textId="250348BF" w:rsidR="0031673E" w:rsidRPr="0090041C" w:rsidRDefault="0031673E" w:rsidP="00797FE7">
            <w:pPr>
              <w:rPr>
                <w:b/>
                <w:bCs/>
              </w:rPr>
            </w:pP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21520"/>
    <w:rsid w:val="000D3174"/>
    <w:rsid w:val="000D78DC"/>
    <w:rsid w:val="000E579E"/>
    <w:rsid w:val="001031C0"/>
    <w:rsid w:val="001206F8"/>
    <w:rsid w:val="00132308"/>
    <w:rsid w:val="001504D7"/>
    <w:rsid w:val="0015133C"/>
    <w:rsid w:val="001635F3"/>
    <w:rsid w:val="001C0FCB"/>
    <w:rsid w:val="001D506A"/>
    <w:rsid w:val="0020031E"/>
    <w:rsid w:val="00215D6A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243A7"/>
    <w:rsid w:val="003425A9"/>
    <w:rsid w:val="00347E77"/>
    <w:rsid w:val="00371702"/>
    <w:rsid w:val="00381DE5"/>
    <w:rsid w:val="003C032E"/>
    <w:rsid w:val="003D2844"/>
    <w:rsid w:val="003E3C51"/>
    <w:rsid w:val="003F645D"/>
    <w:rsid w:val="003F6A8B"/>
    <w:rsid w:val="004155C6"/>
    <w:rsid w:val="004642FE"/>
    <w:rsid w:val="00483E74"/>
    <w:rsid w:val="004937A4"/>
    <w:rsid w:val="004B3982"/>
    <w:rsid w:val="004C2183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65DFD"/>
    <w:rsid w:val="00572266"/>
    <w:rsid w:val="0059133F"/>
    <w:rsid w:val="006053C2"/>
    <w:rsid w:val="006704F3"/>
    <w:rsid w:val="0067395C"/>
    <w:rsid w:val="006B69EF"/>
    <w:rsid w:val="006E10F2"/>
    <w:rsid w:val="00712B10"/>
    <w:rsid w:val="00715F7D"/>
    <w:rsid w:val="00722126"/>
    <w:rsid w:val="007305F1"/>
    <w:rsid w:val="00761493"/>
    <w:rsid w:val="0078672F"/>
    <w:rsid w:val="0079418F"/>
    <w:rsid w:val="00797FE7"/>
    <w:rsid w:val="007A4D90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041C"/>
    <w:rsid w:val="00902B10"/>
    <w:rsid w:val="00903277"/>
    <w:rsid w:val="009033BB"/>
    <w:rsid w:val="0091117E"/>
    <w:rsid w:val="00914F41"/>
    <w:rsid w:val="00915E70"/>
    <w:rsid w:val="0092491B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4B46"/>
    <w:rsid w:val="00A61A22"/>
    <w:rsid w:val="00A62968"/>
    <w:rsid w:val="00A675F0"/>
    <w:rsid w:val="00A77C2E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5657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A1172"/>
    <w:rsid w:val="00CC1295"/>
    <w:rsid w:val="00CC2386"/>
    <w:rsid w:val="00CD15E4"/>
    <w:rsid w:val="00CD46A9"/>
    <w:rsid w:val="00D041EB"/>
    <w:rsid w:val="00D137E6"/>
    <w:rsid w:val="00D3314C"/>
    <w:rsid w:val="00D54B5D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1132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123F1"/>
    <w:rsid w:val="00F52BDA"/>
    <w:rsid w:val="00F91E3B"/>
    <w:rsid w:val="00F94389"/>
    <w:rsid w:val="00FC5698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2021-05-16T17:32:00Z</dcterms:created>
  <dcterms:modified xsi:type="dcterms:W3CDTF">2021-07-01T17:08:00Z</dcterms:modified>
</cp:coreProperties>
</file>