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0C6E79EA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F37A75">
              <w:rPr>
                <w:sz w:val="20"/>
                <w:szCs w:val="20"/>
              </w:rPr>
              <w:t xml:space="preserve"> </w:t>
            </w:r>
            <w:r w:rsidR="00FB45BB">
              <w:rPr>
                <w:sz w:val="20"/>
                <w:szCs w:val="20"/>
              </w:rPr>
              <w:t>8</w:t>
            </w:r>
            <w:r w:rsidR="00F37A75">
              <w:rPr>
                <w:sz w:val="20"/>
                <w:szCs w:val="20"/>
              </w:rPr>
              <w:t>9.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686378FF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FB45BB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2B1AEA9B" w:rsidR="00FB45BB" w:rsidRPr="009468B0" w:rsidRDefault="00FB45BB" w:rsidP="00FB45B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Penjanje i silaženje. Dizanje i nošenje.</w:t>
            </w:r>
          </w:p>
        </w:tc>
      </w:tr>
      <w:tr w:rsidR="00FB45BB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42A7109A" w14:textId="77777777" w:rsidR="00FB45BB" w:rsidRDefault="00FB45BB" w:rsidP="00FB45B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</w:t>
            </w:r>
          </w:p>
          <w:p w14:paraId="1E34CB0D" w14:textId="77777777" w:rsidR="00FB45BB" w:rsidRPr="00941E51" w:rsidRDefault="00FB45BB" w:rsidP="00FB45BB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6A5E62CC" w14:textId="77777777" w:rsidR="00FB45BB" w:rsidRPr="00D52C70" w:rsidRDefault="00FB45BB" w:rsidP="00FB45BB">
            <w:pPr>
              <w:rPr>
                <w:rFonts w:cstheme="minorHAnsi"/>
                <w:b/>
                <w:sz w:val="20"/>
                <w:szCs w:val="20"/>
              </w:rPr>
            </w:pPr>
            <w:r w:rsidRPr="00D52C70">
              <w:rPr>
                <w:rFonts w:cstheme="minorHAnsi"/>
                <w:b/>
                <w:sz w:val="20"/>
                <w:szCs w:val="20"/>
              </w:rPr>
              <w:t>Us</w:t>
            </w:r>
            <w:r>
              <w:rPr>
                <w:rFonts w:cstheme="minorHAnsi"/>
                <w:b/>
                <w:sz w:val="20"/>
                <w:szCs w:val="20"/>
              </w:rPr>
              <w:t>va</w:t>
            </w:r>
            <w:r w:rsidRPr="00D52C70">
              <w:rPr>
                <w:rFonts w:cstheme="minorHAnsi"/>
                <w:b/>
                <w:sz w:val="20"/>
                <w:szCs w:val="20"/>
              </w:rPr>
              <w:t>janje motoričkog znanja</w:t>
            </w:r>
          </w:p>
          <w:p w14:paraId="41E86C6A" w14:textId="0180422F" w:rsidR="00FB45BB" w:rsidRPr="000D3F6A" w:rsidRDefault="00FB45BB" w:rsidP="00FB45BB">
            <w:pPr>
              <w:rPr>
                <w:sz w:val="20"/>
                <w:szCs w:val="20"/>
              </w:rPr>
            </w:pPr>
            <w:r w:rsidRPr="000D3F6A">
              <w:rPr>
                <w:sz w:val="20"/>
                <w:szCs w:val="20"/>
              </w:rPr>
              <w:t>1.Penjanje na švedske ljestve, silaženje po kosoj klupi i suprotno</w:t>
            </w:r>
          </w:p>
          <w:p w14:paraId="66E620C1" w14:textId="796BE7DD" w:rsidR="00FB45BB" w:rsidRPr="009468B0" w:rsidRDefault="00FB45BB" w:rsidP="00FB45BB">
            <w:pPr>
              <w:rPr>
                <w:sz w:val="20"/>
                <w:szCs w:val="20"/>
              </w:rPr>
            </w:pPr>
            <w:r w:rsidRPr="000D3F6A">
              <w:rPr>
                <w:sz w:val="20"/>
                <w:szCs w:val="20"/>
              </w:rPr>
              <w:t>1.</w:t>
            </w:r>
            <w:r w:rsidR="009A1B18">
              <w:rPr>
                <w:sz w:val="20"/>
                <w:szCs w:val="20"/>
              </w:rPr>
              <w:t xml:space="preserve"> </w:t>
            </w:r>
            <w:r w:rsidRPr="000D3F6A">
              <w:rPr>
                <w:sz w:val="20"/>
                <w:szCs w:val="20"/>
              </w:rPr>
              <w:t xml:space="preserve">Dizanje i nošenje </w:t>
            </w:r>
            <w:proofErr w:type="spellStart"/>
            <w:r w:rsidRPr="000D3F6A">
              <w:rPr>
                <w:sz w:val="20"/>
                <w:szCs w:val="20"/>
              </w:rPr>
              <w:t>medicinke</w:t>
            </w:r>
            <w:proofErr w:type="spellEnd"/>
            <w:r w:rsidRPr="000D3F6A">
              <w:rPr>
                <w:sz w:val="20"/>
                <w:szCs w:val="20"/>
              </w:rPr>
              <w:t xml:space="preserve"> do 1 kg na različite načine</w:t>
            </w:r>
          </w:p>
        </w:tc>
      </w:tr>
      <w:tr w:rsidR="00FB45BB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25E18687" w14:textId="77777777" w:rsidR="00FB45BB" w:rsidRDefault="00FB45BB" w:rsidP="00FB45B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3BAAF093" w:rsidR="00FB45BB" w:rsidRPr="009468B0" w:rsidRDefault="00FB45BB" w:rsidP="00FB45BB">
            <w:pPr>
              <w:rPr>
                <w:sz w:val="20"/>
                <w:szCs w:val="20"/>
              </w:rPr>
            </w:pPr>
            <w:r w:rsidRPr="00D52C70">
              <w:rPr>
                <w:sz w:val="20"/>
                <w:szCs w:val="20"/>
              </w:rPr>
              <w:t xml:space="preserve">Učenik </w:t>
            </w:r>
            <w:r>
              <w:rPr>
                <w:sz w:val="20"/>
                <w:szCs w:val="20"/>
              </w:rPr>
              <w:t>vježba penjanja, silaženja, dizanja i nošenja.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6AC08675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FF7270">
              <w:rPr>
                <w:sz w:val="20"/>
                <w:szCs w:val="20"/>
              </w:rPr>
              <w:t xml:space="preserve"> obruč, švedske ljestve, švedska klupe, </w:t>
            </w:r>
            <w:proofErr w:type="spellStart"/>
            <w:r w:rsidR="00FF7270">
              <w:rPr>
                <w:sz w:val="20"/>
                <w:szCs w:val="20"/>
              </w:rPr>
              <w:t>medicinke</w:t>
            </w:r>
            <w:proofErr w:type="spellEnd"/>
            <w:r w:rsidR="00FF7270">
              <w:rPr>
                <w:sz w:val="20"/>
                <w:szCs w:val="20"/>
              </w:rPr>
              <w:t xml:space="preserve"> (1</w:t>
            </w:r>
            <w:r w:rsidR="009A1B18">
              <w:rPr>
                <w:sz w:val="20"/>
                <w:szCs w:val="20"/>
              </w:rPr>
              <w:t xml:space="preserve"> </w:t>
            </w:r>
            <w:r w:rsidR="00FF7270">
              <w:rPr>
                <w:sz w:val="20"/>
                <w:szCs w:val="20"/>
              </w:rPr>
              <w:t>kg), strunjače, obruči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08EC66F5" w:rsidR="00382BA4" w:rsidRDefault="00EE0C82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4B25BAE8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9A1B18">
        <w:tc>
          <w:tcPr>
            <w:tcW w:w="1838" w:type="dxa"/>
            <w:vAlign w:val="center"/>
          </w:tcPr>
          <w:p w14:paraId="6554E129" w14:textId="21DF4B6C" w:rsidR="00382BA4" w:rsidRPr="009A1B18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9A1B18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9A1B18" w:rsidRDefault="00382BA4" w:rsidP="00C208B7">
            <w:pPr>
              <w:jc w:val="center"/>
              <w:rPr>
                <w:sz w:val="20"/>
                <w:szCs w:val="20"/>
              </w:rPr>
            </w:pPr>
            <w:r w:rsidRPr="009A1B18">
              <w:rPr>
                <w:sz w:val="20"/>
                <w:szCs w:val="20"/>
              </w:rPr>
              <w:t>AKTIVNOSTI UČENIKA</w:t>
            </w:r>
          </w:p>
        </w:tc>
      </w:tr>
      <w:tr w:rsidR="009A1B18" w:rsidRPr="00C208B7" w14:paraId="2AB8902F" w14:textId="77777777" w:rsidTr="009A1B18">
        <w:trPr>
          <w:trHeight w:val="1426"/>
        </w:trPr>
        <w:tc>
          <w:tcPr>
            <w:tcW w:w="1838" w:type="dxa"/>
          </w:tcPr>
          <w:p w14:paraId="2BF7C1ED" w14:textId="77777777" w:rsidR="009A1B18" w:rsidRPr="009A1B18" w:rsidRDefault="009A1B18" w:rsidP="009A1B18">
            <w:pPr>
              <w:jc w:val="center"/>
              <w:rPr>
                <w:b/>
              </w:rPr>
            </w:pPr>
          </w:p>
          <w:p w14:paraId="17B9792E" w14:textId="77777777" w:rsidR="009A1B18" w:rsidRPr="009A1B18" w:rsidRDefault="009A1B18" w:rsidP="009A1B18">
            <w:pPr>
              <w:jc w:val="center"/>
              <w:rPr>
                <w:b/>
              </w:rPr>
            </w:pPr>
          </w:p>
          <w:p w14:paraId="798816B4" w14:textId="5AD77BE9" w:rsidR="009A1B18" w:rsidRPr="009A1B18" w:rsidRDefault="009A1B18" w:rsidP="009A1B18">
            <w:pPr>
              <w:jc w:val="center"/>
            </w:pPr>
            <w:r w:rsidRPr="009A1B18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49C0EE09" w14:textId="77777777" w:rsidR="009A1B18" w:rsidRPr="007E09BA" w:rsidRDefault="009A1B18" w:rsidP="009A1B18">
            <w:pPr>
              <w:spacing w:line="276" w:lineRule="auto"/>
              <w:rPr>
                <w:b/>
              </w:rPr>
            </w:pPr>
            <w:r w:rsidRPr="007E09BA">
              <w:rPr>
                <w:b/>
              </w:rPr>
              <w:t>HVATANJE OBRUČEM</w:t>
            </w:r>
            <w:bookmarkStart w:id="0" w:name="_GoBack"/>
            <w:bookmarkEnd w:id="0"/>
          </w:p>
          <w:p w14:paraId="5ED48C90" w14:textId="0978ACEF" w:rsidR="009A1B18" w:rsidRPr="002D22EB" w:rsidRDefault="009A1B18" w:rsidP="009A1B18">
            <w:pPr>
              <w:spacing w:line="276" w:lineRule="auto"/>
              <w:jc w:val="both"/>
            </w:pPr>
            <w:r w:rsidRPr="002F4C19">
              <w:t>Dva učenika drže obruč i hvataju ostale koji se kreću u prostoru za vježbanje. Uhvaćen je svaki onaj učenik kojem uspiju staviti obruč na glavu. Uhvaćeni uče</w:t>
            </w:r>
            <w:r>
              <w:t>n</w:t>
            </w:r>
            <w:r w:rsidRPr="002F4C19">
              <w:t>ik mijenja ulogu s jednim od „lovaca“.</w:t>
            </w:r>
          </w:p>
        </w:tc>
      </w:tr>
      <w:tr w:rsidR="009A1B18" w:rsidRPr="00C208B7" w14:paraId="6A61B6AA" w14:textId="77777777" w:rsidTr="009A1B18">
        <w:trPr>
          <w:trHeight w:val="850"/>
        </w:trPr>
        <w:tc>
          <w:tcPr>
            <w:tcW w:w="1838" w:type="dxa"/>
          </w:tcPr>
          <w:p w14:paraId="331E34ED" w14:textId="77777777" w:rsidR="009A1B18" w:rsidRPr="009A1B18" w:rsidRDefault="009A1B18" w:rsidP="009A1B18">
            <w:pPr>
              <w:jc w:val="center"/>
              <w:rPr>
                <w:b/>
              </w:rPr>
            </w:pPr>
          </w:p>
          <w:p w14:paraId="61726AF9" w14:textId="77777777" w:rsidR="009A1B18" w:rsidRPr="009A1B18" w:rsidRDefault="009A1B18" w:rsidP="009A1B18">
            <w:pPr>
              <w:jc w:val="center"/>
              <w:rPr>
                <w:b/>
              </w:rPr>
            </w:pPr>
          </w:p>
          <w:p w14:paraId="552C1F7A" w14:textId="2A2B26E4" w:rsidR="009A1B18" w:rsidRPr="009A1B18" w:rsidRDefault="009A1B18" w:rsidP="009A1B18">
            <w:pPr>
              <w:jc w:val="center"/>
              <w:rPr>
                <w:b/>
              </w:rPr>
            </w:pPr>
            <w:r w:rsidRPr="009A1B18">
              <w:rPr>
                <w:b/>
              </w:rPr>
              <w:t>Opće</w:t>
            </w:r>
            <w:r>
              <w:rPr>
                <w:b/>
              </w:rPr>
              <w:t>-</w:t>
            </w:r>
            <w:r w:rsidRPr="009A1B18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0A561849" w14:textId="77777777" w:rsidR="009A1B18" w:rsidRPr="007E09BA" w:rsidRDefault="009A1B18" w:rsidP="009A1B18">
            <w:pPr>
              <w:spacing w:line="276" w:lineRule="auto"/>
              <w:rPr>
                <w:b/>
                <w:bCs/>
              </w:rPr>
            </w:pPr>
            <w:r w:rsidRPr="007E09BA">
              <w:rPr>
                <w:b/>
                <w:bCs/>
              </w:rPr>
              <w:t>OPĆE-PRIPREMNE VJEŽBE U PARU</w:t>
            </w:r>
          </w:p>
          <w:p w14:paraId="23EE637D" w14:textId="77777777" w:rsidR="009A1B18" w:rsidRDefault="009A1B18" w:rsidP="009A1B18">
            <w:pPr>
              <w:pStyle w:val="ListParagraph"/>
              <w:numPr>
                <w:ilvl w:val="0"/>
                <w:numId w:val="5"/>
              </w:numPr>
              <w:spacing w:after="160" w:line="276" w:lineRule="auto"/>
              <w:ind w:left="360"/>
            </w:pPr>
            <w:r>
              <w:t>BRADA-TJEME: Učenici su okrenuti licem jedan prema drugom. Stav uspravan, stopala spojena. Učenici naizmjence jedan drugom podižu i spuštaju glavu jednom rukom. Glavu podižu rukom držeći je ispod brade, a spuštaju rukom držeći je na tjemenu.</w:t>
            </w:r>
          </w:p>
          <w:p w14:paraId="0B6B8A61" w14:textId="77777777" w:rsidR="009A1B18" w:rsidRDefault="009A1B18" w:rsidP="009A1B18">
            <w:pPr>
              <w:pStyle w:val="ListParagraph"/>
              <w:numPr>
                <w:ilvl w:val="0"/>
                <w:numId w:val="5"/>
              </w:numPr>
              <w:spacing w:after="160" w:line="276" w:lineRule="auto"/>
              <w:ind w:left="360"/>
            </w:pPr>
            <w:r>
              <w:t>LIJEVO-DESNO: Stav uspravan, stopala spojena, ruke uz tijelo. Učenici izvode pokret glavom ulijevo pa udesno. Naglasiti okretanje u svoju lijevu, odnosno desnu stranu.</w:t>
            </w:r>
          </w:p>
          <w:p w14:paraId="37A86828" w14:textId="77777777" w:rsidR="009A1B18" w:rsidRDefault="009A1B18" w:rsidP="009A1B18">
            <w:pPr>
              <w:pStyle w:val="ListParagraph"/>
              <w:numPr>
                <w:ilvl w:val="0"/>
                <w:numId w:val="5"/>
              </w:numPr>
              <w:spacing w:after="160" w:line="276" w:lineRule="auto"/>
              <w:ind w:left="360"/>
            </w:pPr>
            <w:r>
              <w:t>RAMENIMA GORE-DOLJE: Učenici su jedan drugom okrenuti leđima. Stav uspravan, stopala spojena, ruke opuštene uz tijelo. Spuštaju i podižu svoje lijevo, a zatim desno rame.</w:t>
            </w:r>
          </w:p>
          <w:p w14:paraId="52B093DB" w14:textId="77777777" w:rsidR="009A1B18" w:rsidRDefault="009A1B18" w:rsidP="009A1B18">
            <w:pPr>
              <w:pStyle w:val="ListParagraph"/>
              <w:numPr>
                <w:ilvl w:val="0"/>
                <w:numId w:val="5"/>
              </w:numPr>
              <w:spacing w:after="160" w:line="276" w:lineRule="auto"/>
              <w:ind w:left="360"/>
            </w:pPr>
            <w:r>
              <w:t>PLJESNI LIJEVOM ILI DESNOM RUKOM: Učenici su okrenuti licem jedan prema drugom. Stav uspravan. Rukama će pljeskati ispred sebe: pljesnu svatko za sebe pa međusobno desnom rukom, pljesnu svatko za sebe pa međusobno lijevom rukom, pljesnu svatko za sebe pa istovremeno međusobno s obje ruke. Mogu pljeskati brže, a zatim sporije i tako mijenjati ritam pljeskanja.</w:t>
            </w:r>
          </w:p>
          <w:p w14:paraId="5B2523C8" w14:textId="77777777" w:rsidR="009A1B18" w:rsidRDefault="009A1B18" w:rsidP="009A1B18">
            <w:pPr>
              <w:pStyle w:val="ListParagraph"/>
              <w:numPr>
                <w:ilvl w:val="0"/>
                <w:numId w:val="5"/>
              </w:numPr>
              <w:spacing w:after="160" w:line="276" w:lineRule="auto"/>
              <w:ind w:left="360"/>
            </w:pPr>
            <w:r>
              <w:t>RAMPA U PARU: Stav je sjedeći, noge ispružene, parovi su oslonjeni jedan na drugog stopalima, a rukama su  iza leđa oslonjeni na tlo. Naizmjence podižu jedan par nogu koji se dotiče, a zatim drugi.</w:t>
            </w:r>
          </w:p>
          <w:p w14:paraId="3ADA86B9" w14:textId="77777777" w:rsidR="009A1B18" w:rsidRDefault="009A1B18" w:rsidP="009A1B18">
            <w:pPr>
              <w:pStyle w:val="ListParagraph"/>
              <w:numPr>
                <w:ilvl w:val="0"/>
                <w:numId w:val="5"/>
              </w:numPr>
              <w:spacing w:after="160" w:line="276" w:lineRule="auto"/>
              <w:ind w:left="360"/>
            </w:pPr>
            <w:r>
              <w:t>BICIKL U PARU: Stav je ležeći na leđima.</w:t>
            </w:r>
            <w:r w:rsidRPr="005C1187">
              <w:t xml:space="preserve"> </w:t>
            </w:r>
            <w:r>
              <w:t xml:space="preserve">Parovi su oslonjeni jedan na drugog stopalima, a rukama su  iza leđa oslonjeni na tlo. Noge podignu s poda i oponašaju pokrete vožnje bicikla. </w:t>
            </w:r>
          </w:p>
          <w:p w14:paraId="18C07C9D" w14:textId="6C6F4397" w:rsidR="009A1B18" w:rsidRPr="002D22EB" w:rsidRDefault="009A1B18" w:rsidP="009A1B18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  <w:jc w:val="both"/>
            </w:pPr>
            <w:r>
              <w:lastRenderedPageBreak/>
              <w:t xml:space="preserve">PUMPANJE VODE: Učenici su okrenuti licem jedan prema drugom. Stav uspravan, blago </w:t>
            </w:r>
            <w:proofErr w:type="spellStart"/>
            <w:r>
              <w:t>raskoračni</w:t>
            </w:r>
            <w:proofErr w:type="spellEnd"/>
            <w:r>
              <w:t>, drže se za ruke. Učenici izvode čučnjeve naizmjence: jedan čučne, drugi stoji.</w:t>
            </w:r>
          </w:p>
        </w:tc>
      </w:tr>
      <w:tr w:rsidR="009A1B18" w:rsidRPr="00C208B7" w14:paraId="70B28693" w14:textId="77777777" w:rsidTr="009A1B18">
        <w:trPr>
          <w:trHeight w:val="1422"/>
        </w:trPr>
        <w:tc>
          <w:tcPr>
            <w:tcW w:w="1838" w:type="dxa"/>
          </w:tcPr>
          <w:p w14:paraId="04591B19" w14:textId="77777777" w:rsidR="009A1B18" w:rsidRPr="009A1B18" w:rsidRDefault="009A1B18" w:rsidP="009A1B18">
            <w:pPr>
              <w:jc w:val="center"/>
              <w:rPr>
                <w:b/>
              </w:rPr>
            </w:pPr>
          </w:p>
          <w:p w14:paraId="38D01DEA" w14:textId="77777777" w:rsidR="009A1B18" w:rsidRPr="009A1B18" w:rsidRDefault="009A1B18" w:rsidP="009A1B18">
            <w:pPr>
              <w:jc w:val="center"/>
              <w:rPr>
                <w:b/>
              </w:rPr>
            </w:pPr>
          </w:p>
          <w:p w14:paraId="41A985AE" w14:textId="697140CE" w:rsidR="009A1B18" w:rsidRPr="009A1B18" w:rsidRDefault="009A1B18" w:rsidP="009A1B18">
            <w:pPr>
              <w:jc w:val="center"/>
              <w:rPr>
                <w:b/>
              </w:rPr>
            </w:pPr>
            <w:r w:rsidRPr="009A1B18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1E888DC1" w14:textId="77777777" w:rsidR="009A1B18" w:rsidRPr="0003732D" w:rsidRDefault="009A1B18" w:rsidP="009A1B18">
            <w:pPr>
              <w:pStyle w:val="NoSpacing"/>
              <w:spacing w:line="276" w:lineRule="auto"/>
              <w:rPr>
                <w:b/>
                <w:bCs/>
              </w:rPr>
            </w:pPr>
            <w:r w:rsidRPr="0003732D">
              <w:rPr>
                <w:b/>
                <w:bCs/>
              </w:rPr>
              <w:t>AKTIVNOST</w:t>
            </w:r>
          </w:p>
          <w:p w14:paraId="77B2E446" w14:textId="77777777" w:rsidR="009A1B18" w:rsidRDefault="009A1B18" w:rsidP="009A1B18">
            <w:pPr>
              <w:pStyle w:val="NoSpacing"/>
              <w:spacing w:line="276" w:lineRule="auto"/>
            </w:pPr>
            <w:r>
              <w:t xml:space="preserve">Učenici su raspoređeni u više kolona. Broj kolona ovisi o broju učenika,  o mogućnostima širine radnih mjesta i o broju švedskih klupa.  </w:t>
            </w:r>
          </w:p>
          <w:p w14:paraId="24EC565B" w14:textId="77777777" w:rsidR="009A1B18" w:rsidRDefault="009A1B18" w:rsidP="009A1B18">
            <w:pPr>
              <w:pStyle w:val="NoSpacing"/>
              <w:spacing w:line="276" w:lineRule="auto"/>
            </w:pPr>
            <w:r>
              <w:t xml:space="preserve">Učenici se penju po švedskim ljestvama tako da stopala postavljaju na svaku pritku sve do određene visine gdje je ovješena švedska klupa. </w:t>
            </w:r>
          </w:p>
          <w:p w14:paraId="19B99D87" w14:textId="77777777" w:rsidR="009A1B18" w:rsidRDefault="009A1B18" w:rsidP="009A1B18">
            <w:pPr>
              <w:pStyle w:val="NoSpacing"/>
              <w:spacing w:line="276" w:lineRule="auto"/>
            </w:pPr>
            <w:r>
              <w:t>Učenik prelazi na švedsku klupu te se polako četveronoške spušta. Radnja se može ponoviti obrnutim redoslijedom.</w:t>
            </w:r>
          </w:p>
          <w:p w14:paraId="00DD0DED" w14:textId="77777777" w:rsidR="009A1B18" w:rsidRDefault="009A1B18" w:rsidP="009A1B18">
            <w:pPr>
              <w:pStyle w:val="NoSpacing"/>
              <w:spacing w:line="276" w:lineRule="auto"/>
            </w:pPr>
          </w:p>
          <w:p w14:paraId="3B6BF452" w14:textId="77777777" w:rsidR="009A1B18" w:rsidRPr="0003732D" w:rsidRDefault="009A1B18" w:rsidP="009A1B18">
            <w:pPr>
              <w:pStyle w:val="NoSpacing"/>
              <w:spacing w:line="276" w:lineRule="auto"/>
              <w:rPr>
                <w:b/>
                <w:bCs/>
              </w:rPr>
            </w:pPr>
            <w:r w:rsidRPr="0003732D">
              <w:rPr>
                <w:b/>
                <w:bCs/>
              </w:rPr>
              <w:t>AKTIVNOST</w:t>
            </w:r>
          </w:p>
          <w:p w14:paraId="3788C29C" w14:textId="77777777" w:rsidR="009A1B18" w:rsidRDefault="009A1B18" w:rsidP="009A1B18">
            <w:pPr>
              <w:pStyle w:val="NoSpacing"/>
              <w:spacing w:line="276" w:lineRule="auto"/>
            </w:pPr>
            <w:r>
              <w:t xml:space="preserve">Učenici su raspoređeni u kolone. Svaka kolona ima dvije </w:t>
            </w:r>
            <w:proofErr w:type="spellStart"/>
            <w:r>
              <w:t>medicinke</w:t>
            </w:r>
            <w:proofErr w:type="spellEnd"/>
            <w:r>
              <w:t xml:space="preserve">. Uz kolonu stoji obruč i u obruču je jedna </w:t>
            </w:r>
            <w:proofErr w:type="spellStart"/>
            <w:r>
              <w:t>medicinka</w:t>
            </w:r>
            <w:proofErr w:type="spellEnd"/>
            <w:r>
              <w:t xml:space="preserve"> (1 kg). Drugu </w:t>
            </w:r>
            <w:proofErr w:type="spellStart"/>
            <w:r>
              <w:t>medicinku</w:t>
            </w:r>
            <w:proofErr w:type="spellEnd"/>
            <w:r>
              <w:t xml:space="preserve"> drži prvi učenik u koloni. Prvi učenik nosi </w:t>
            </w:r>
            <w:proofErr w:type="spellStart"/>
            <w:r>
              <w:t>medicinku</w:t>
            </w:r>
            <w:proofErr w:type="spellEnd"/>
            <w:r>
              <w:t xml:space="preserve"> do obruča koji se nalazi na udaljenosti od 3 m, ostavlja </w:t>
            </w:r>
            <w:proofErr w:type="spellStart"/>
            <w:r>
              <w:t>medicinku</w:t>
            </w:r>
            <w:proofErr w:type="spellEnd"/>
            <w:r>
              <w:t xml:space="preserve"> i trči na začelje kolone bez </w:t>
            </w:r>
            <w:proofErr w:type="spellStart"/>
            <w:r>
              <w:t>medicinke</w:t>
            </w:r>
            <w:proofErr w:type="spellEnd"/>
            <w:r>
              <w:t xml:space="preserve">. Drugi učenik uzima </w:t>
            </w:r>
            <w:proofErr w:type="spellStart"/>
            <w:r>
              <w:t>medicinku</w:t>
            </w:r>
            <w:proofErr w:type="spellEnd"/>
            <w:r>
              <w:t xml:space="preserve"> iz obruča pored njega i nosi je do obruča, ostavlja </w:t>
            </w:r>
            <w:proofErr w:type="spellStart"/>
            <w:r>
              <w:t>medicinku</w:t>
            </w:r>
            <w:proofErr w:type="spellEnd"/>
            <w:r>
              <w:t xml:space="preserve"> i uzima onu koja je bila u obruču te se vraća i ostavlja </w:t>
            </w:r>
            <w:proofErr w:type="spellStart"/>
            <w:r>
              <w:t>medicinku</w:t>
            </w:r>
            <w:proofErr w:type="spellEnd"/>
            <w:r>
              <w:t xml:space="preserve"> u obruč koji je uz kolonu. Odlazi na začelje kolone. </w:t>
            </w:r>
          </w:p>
          <w:p w14:paraId="149EB14B" w14:textId="77777777" w:rsidR="009A1B18" w:rsidRDefault="009A1B18" w:rsidP="009A1B18">
            <w:pPr>
              <w:pStyle w:val="NoSpacing"/>
              <w:spacing w:line="276" w:lineRule="auto"/>
            </w:pPr>
            <w:r>
              <w:t xml:space="preserve">Kreće sljedeći učenik koji ponavlja radnju i tako redom. </w:t>
            </w:r>
          </w:p>
          <w:p w14:paraId="27043CD3" w14:textId="77777777" w:rsidR="009A1B18" w:rsidRDefault="009A1B18" w:rsidP="009A1B18">
            <w:pPr>
              <w:pStyle w:val="NoSpacing"/>
              <w:spacing w:line="276" w:lineRule="auto"/>
            </w:pPr>
            <w:r>
              <w:t xml:space="preserve">Radnja se ponavlja onoliko puta koliko odredi učitelj. </w:t>
            </w:r>
          </w:p>
          <w:p w14:paraId="1F7A2999" w14:textId="689E356E" w:rsidR="009A1B18" w:rsidRPr="002D22EB" w:rsidRDefault="009A1B18" w:rsidP="009A1B18">
            <w:pPr>
              <w:spacing w:line="276" w:lineRule="auto"/>
              <w:jc w:val="both"/>
            </w:pPr>
            <w:r>
              <w:t>Učenici savladavaju prostor s teretom u ruci.</w:t>
            </w:r>
          </w:p>
        </w:tc>
      </w:tr>
      <w:tr w:rsidR="009A1B18" w:rsidRPr="00C208B7" w14:paraId="2A440203" w14:textId="77777777" w:rsidTr="009A1B18">
        <w:trPr>
          <w:trHeight w:val="1422"/>
        </w:trPr>
        <w:tc>
          <w:tcPr>
            <w:tcW w:w="1838" w:type="dxa"/>
          </w:tcPr>
          <w:p w14:paraId="6317830D" w14:textId="77777777" w:rsidR="009A1B18" w:rsidRPr="009A1B18" w:rsidRDefault="009A1B18" w:rsidP="009A1B18">
            <w:pPr>
              <w:jc w:val="center"/>
              <w:rPr>
                <w:b/>
              </w:rPr>
            </w:pPr>
          </w:p>
          <w:p w14:paraId="7C7D195D" w14:textId="77777777" w:rsidR="009A1B18" w:rsidRPr="009A1B18" w:rsidRDefault="009A1B18" w:rsidP="009A1B18">
            <w:pPr>
              <w:jc w:val="center"/>
              <w:rPr>
                <w:b/>
              </w:rPr>
            </w:pPr>
          </w:p>
          <w:p w14:paraId="0BE19996" w14:textId="2318763F" w:rsidR="009A1B18" w:rsidRPr="009A1B18" w:rsidRDefault="009A1B18" w:rsidP="009A1B18">
            <w:pPr>
              <w:jc w:val="center"/>
            </w:pPr>
            <w:r w:rsidRPr="009A1B18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2070FB3E" w14:textId="77777777" w:rsidR="009A1B18" w:rsidRPr="007E09BA" w:rsidRDefault="009A1B18" w:rsidP="009A1B18">
            <w:pPr>
              <w:spacing w:line="276" w:lineRule="auto"/>
              <w:rPr>
                <w:b/>
              </w:rPr>
            </w:pPr>
            <w:r w:rsidRPr="007E09BA">
              <w:rPr>
                <w:b/>
              </w:rPr>
              <w:t xml:space="preserve">ELEMENTARNA IGRA: LABIRINT </w:t>
            </w:r>
          </w:p>
          <w:p w14:paraId="68CDBD6C" w14:textId="29634B59" w:rsidR="009A1B18" w:rsidRPr="002D22EB" w:rsidRDefault="009A1B18" w:rsidP="009A1B18">
            <w:pPr>
              <w:spacing w:line="276" w:lineRule="auto"/>
              <w:jc w:val="both"/>
            </w:pPr>
            <w:r w:rsidRPr="00121DC9">
              <w:t>Učenici su podijeljeni u četiri vrste</w:t>
            </w:r>
            <w:r>
              <w:t>. U vrsti</w:t>
            </w:r>
            <w:r w:rsidRPr="00121DC9">
              <w:t xml:space="preserve"> stoje jedan do drugog, a razmak između vrsta dužina je </w:t>
            </w:r>
            <w:proofErr w:type="spellStart"/>
            <w:r w:rsidRPr="00121DC9">
              <w:t>predručenja</w:t>
            </w:r>
            <w:proofErr w:type="spellEnd"/>
            <w:r w:rsidRPr="00121DC9">
              <w:t xml:space="preserve">. Jedan učenik hvata drugog tako da se </w:t>
            </w:r>
            <w:r>
              <w:t xml:space="preserve">obojica </w:t>
            </w:r>
            <w:r w:rsidRPr="00121DC9">
              <w:t>kreću samo između vrsta, dakle kroz „labirint“. Na učiteljevu zapovijed, npr. „nadesno“,</w:t>
            </w:r>
            <w:r>
              <w:t xml:space="preserve"> </w:t>
            </w:r>
            <w:r w:rsidRPr="00121DC9">
              <w:t>svi se učenici okreću što brže mogu udesno, tj. mijenja se „labirint“, odnosno</w:t>
            </w:r>
            <w:r>
              <w:t>,</w:t>
            </w:r>
            <w:r w:rsidRPr="00121DC9">
              <w:t xml:space="preserve"> prostor za hvatanje, a time i smjer kretanja učenika koji se hvataju. Učitelj izdaje zapovijedi češće, osobito ako pravodobno okretanje učenika može pomoći učeniku kojeg hvataju. Lovac koji uhvati slobodnog učenika, postaje slobodan i staje u jednu vrstu, a dalje hvata ulovljeni učenik i to onaj na čije je mjesto stao dotadašnji lovac.</w:t>
            </w:r>
          </w:p>
        </w:tc>
      </w:tr>
      <w:tr w:rsidR="009A1B18" w:rsidRPr="00C208B7" w14:paraId="17F95E9C" w14:textId="77777777" w:rsidTr="009A1B18">
        <w:trPr>
          <w:trHeight w:val="1422"/>
        </w:trPr>
        <w:tc>
          <w:tcPr>
            <w:tcW w:w="1838" w:type="dxa"/>
          </w:tcPr>
          <w:p w14:paraId="318E0D67" w14:textId="77777777" w:rsidR="009A1B18" w:rsidRPr="009A1B18" w:rsidRDefault="009A1B18" w:rsidP="009A1B18">
            <w:pPr>
              <w:jc w:val="center"/>
              <w:rPr>
                <w:b/>
              </w:rPr>
            </w:pPr>
          </w:p>
          <w:p w14:paraId="219F57CC" w14:textId="77777777" w:rsidR="009A1B18" w:rsidRPr="009A1B18" w:rsidRDefault="009A1B18" w:rsidP="009A1B18">
            <w:pPr>
              <w:jc w:val="center"/>
              <w:rPr>
                <w:b/>
              </w:rPr>
            </w:pPr>
          </w:p>
          <w:p w14:paraId="0E0DFD45" w14:textId="0E141F27" w:rsidR="009A1B18" w:rsidRPr="009A1B18" w:rsidRDefault="009A1B18" w:rsidP="009A1B18">
            <w:pPr>
              <w:jc w:val="center"/>
              <w:rPr>
                <w:b/>
              </w:rPr>
            </w:pPr>
            <w:r w:rsidRPr="009A1B18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614E564B" w14:textId="77777777" w:rsidR="009A1B18" w:rsidRPr="007E09BA" w:rsidRDefault="009A1B18" w:rsidP="009A1B18">
            <w:pPr>
              <w:spacing w:line="276" w:lineRule="auto"/>
              <w:rPr>
                <w:b/>
              </w:rPr>
            </w:pPr>
            <w:r w:rsidRPr="007E09BA">
              <w:rPr>
                <w:b/>
              </w:rPr>
              <w:t>SMIJTE SE, DJECO</w:t>
            </w:r>
          </w:p>
          <w:p w14:paraId="15516798" w14:textId="77777777" w:rsidR="009A1B18" w:rsidRDefault="009A1B18" w:rsidP="009A1B18">
            <w:pPr>
              <w:spacing w:line="276" w:lineRule="auto"/>
            </w:pPr>
            <w:r w:rsidRPr="00121DC9">
              <w:t>Učenici se nalaze u formaciji kruga, a učitelj je s loptom u ruci u sredini kruga. Kad učitelj baci loptu uvis, svi se učenici moraju smijati, a čim lopta padne o tlo, moraju se uozbiljiti, odnosno više se ne smiju smijati. Onaj tko se smije i nakon što je lopta pala ispada iz igre.</w:t>
            </w:r>
          </w:p>
          <w:p w14:paraId="6EFFFEB8" w14:textId="77777777" w:rsidR="009A1B18" w:rsidRDefault="009A1B18" w:rsidP="009A1B18">
            <w:pPr>
              <w:spacing w:line="276" w:lineRule="auto"/>
            </w:pPr>
          </w:p>
          <w:p w14:paraId="6DDBC423" w14:textId="77777777" w:rsidR="009A1B18" w:rsidRDefault="009A1B18" w:rsidP="009A1B18">
            <w:pPr>
              <w:spacing w:line="276" w:lineRule="auto"/>
              <w:jc w:val="both"/>
              <w:rPr>
                <w:b/>
                <w:bCs/>
              </w:rPr>
            </w:pPr>
            <w:r w:rsidRPr="007E09BA">
              <w:rPr>
                <w:b/>
                <w:bCs/>
              </w:rPr>
              <w:t>VREDNOVANJE KAO UČENJE: PALČEVI</w:t>
            </w:r>
          </w:p>
          <w:p w14:paraId="49B9E651" w14:textId="77777777" w:rsidR="009A1B18" w:rsidRPr="002D22EB" w:rsidRDefault="009A1B18" w:rsidP="009A1B18">
            <w:pPr>
              <w:spacing w:line="276" w:lineRule="auto"/>
              <w:jc w:val="both"/>
            </w:pPr>
          </w:p>
        </w:tc>
      </w:tr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0F045B"/>
    <w:multiLevelType w:val="hybridMultilevel"/>
    <w:tmpl w:val="6CCC35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78D9"/>
    <w:rsid w:val="000D2683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2036D4"/>
    <w:rsid w:val="00225A42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7F3D"/>
    <w:rsid w:val="00382BA4"/>
    <w:rsid w:val="00417F5E"/>
    <w:rsid w:val="004323D1"/>
    <w:rsid w:val="0044286A"/>
    <w:rsid w:val="004578A1"/>
    <w:rsid w:val="00462339"/>
    <w:rsid w:val="004835A9"/>
    <w:rsid w:val="00496099"/>
    <w:rsid w:val="004A5361"/>
    <w:rsid w:val="004D28DD"/>
    <w:rsid w:val="004E42F1"/>
    <w:rsid w:val="00503659"/>
    <w:rsid w:val="005478FF"/>
    <w:rsid w:val="0058452E"/>
    <w:rsid w:val="00585A4C"/>
    <w:rsid w:val="005D5D24"/>
    <w:rsid w:val="00610047"/>
    <w:rsid w:val="00617C57"/>
    <w:rsid w:val="00636F6B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252E0"/>
    <w:rsid w:val="009346E9"/>
    <w:rsid w:val="009468B0"/>
    <w:rsid w:val="00952821"/>
    <w:rsid w:val="009618D3"/>
    <w:rsid w:val="009624CA"/>
    <w:rsid w:val="00996F94"/>
    <w:rsid w:val="009A1B18"/>
    <w:rsid w:val="009A6097"/>
    <w:rsid w:val="009C1FA3"/>
    <w:rsid w:val="00A16517"/>
    <w:rsid w:val="00A23FA3"/>
    <w:rsid w:val="00A57156"/>
    <w:rsid w:val="00A72561"/>
    <w:rsid w:val="00A93481"/>
    <w:rsid w:val="00AA197C"/>
    <w:rsid w:val="00AF2266"/>
    <w:rsid w:val="00B11DEB"/>
    <w:rsid w:val="00B2571A"/>
    <w:rsid w:val="00B8782D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83D35"/>
    <w:rsid w:val="00CD3EF4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E43550"/>
    <w:rsid w:val="00E862E4"/>
    <w:rsid w:val="00EE0C82"/>
    <w:rsid w:val="00EF13FE"/>
    <w:rsid w:val="00EF5C9A"/>
    <w:rsid w:val="00EF6989"/>
    <w:rsid w:val="00F1222D"/>
    <w:rsid w:val="00F13487"/>
    <w:rsid w:val="00F228E4"/>
    <w:rsid w:val="00F26319"/>
    <w:rsid w:val="00F37A75"/>
    <w:rsid w:val="00F61B65"/>
    <w:rsid w:val="00F708C6"/>
    <w:rsid w:val="00F82DF7"/>
    <w:rsid w:val="00FB45BB"/>
    <w:rsid w:val="00FC3AF8"/>
    <w:rsid w:val="00FE06C5"/>
    <w:rsid w:val="00FF330B"/>
    <w:rsid w:val="00FF3FB9"/>
    <w:rsid w:val="00FF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FB45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037736-F86B-454B-9FDD-679E397F7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719</Words>
  <Characters>4102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2019-08-05T08:36:00Z</dcterms:created>
  <dcterms:modified xsi:type="dcterms:W3CDTF">2019-08-05T08:36:00Z</dcterms:modified>
</cp:coreProperties>
</file>